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7E6F35" w:rsidRPr="007E6F35">
              <w:rPr>
                <w:rFonts w:asciiTheme="minorHAnsi" w:hAnsiTheme="minorHAnsi" w:cstheme="minorHAnsi"/>
                <w:i/>
              </w:rPr>
              <w:t xml:space="preserve">Projekt uchwały Rady Ministrów w sprawie przyjęcia Krajowej Polityki Miejskiej </w:t>
            </w:r>
            <w:r w:rsidR="007E6F35" w:rsidRPr="007E6F35">
              <w:rPr>
                <w:rFonts w:asciiTheme="minorHAnsi" w:hAnsiTheme="minorHAnsi" w:cstheme="minorHAnsi"/>
              </w:rPr>
              <w:t>(etap KRMC)</w:t>
            </w:r>
            <w:r w:rsidR="00425A3B" w:rsidRPr="008D6C20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:rsidTr="009F36F8">
        <w:tc>
          <w:tcPr>
            <w:tcW w:w="562" w:type="dxa"/>
            <w:shd w:val="clear" w:color="auto" w:fill="auto"/>
          </w:tcPr>
          <w:p w:rsidR="009F36F8" w:rsidRPr="00E16E5E" w:rsidRDefault="00783E4F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9F36F8" w:rsidRPr="00E16E5E" w:rsidRDefault="009F36F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9F36F8" w:rsidRDefault="002B3C90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95</w:t>
            </w:r>
          </w:p>
        </w:tc>
        <w:tc>
          <w:tcPr>
            <w:tcW w:w="6946" w:type="dxa"/>
            <w:shd w:val="clear" w:color="auto" w:fill="auto"/>
          </w:tcPr>
          <w:p w:rsidR="000E7716" w:rsidRPr="009F36F8" w:rsidRDefault="00B47CA2" w:rsidP="002B3C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 xml:space="preserve"> informacjach do odnośnika nr 81 (str. 95) należy zaktualizować kwotę zasilenia Rządowego Funduszu Rozwoju Mieszkalnictwa z 1,5 mld zł </w:t>
            </w:r>
            <w:r w:rsidR="002B3C9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 xml:space="preserve">na kwotę 3,4 mld zł. (dane na podstawie przekazanej z BGK Informacji </w:t>
            </w:r>
            <w:r w:rsidR="002B3C9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>o realizacji planu finansowego Rządowego Funduszu Rozw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oju Mieszkalnictwa za 2021 rok).</w:t>
            </w:r>
          </w:p>
        </w:tc>
        <w:tc>
          <w:tcPr>
            <w:tcW w:w="3544" w:type="dxa"/>
            <w:shd w:val="clear" w:color="auto" w:fill="auto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4234" w:rsidRPr="00A06425" w:rsidTr="009F36F8">
        <w:tc>
          <w:tcPr>
            <w:tcW w:w="562" w:type="dxa"/>
            <w:shd w:val="clear" w:color="auto" w:fill="auto"/>
          </w:tcPr>
          <w:p w:rsidR="00AA4234" w:rsidRDefault="004D5872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AA4234" w:rsidRDefault="00B617AF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A4234" w:rsidRDefault="002B3C90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58</w:t>
            </w:r>
          </w:p>
        </w:tc>
        <w:tc>
          <w:tcPr>
            <w:tcW w:w="6946" w:type="dxa"/>
            <w:shd w:val="clear" w:color="auto" w:fill="auto"/>
          </w:tcPr>
          <w:p w:rsidR="00AA4234" w:rsidRPr="009F36F8" w:rsidRDefault="00B47CA2" w:rsidP="00BD6C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>roponuj</w:t>
            </w:r>
            <w:r w:rsidR="00BD6C8B">
              <w:rPr>
                <w:rFonts w:asciiTheme="minorHAnsi" w:hAnsiTheme="minorHAnsi" w:cstheme="minorHAnsi"/>
                <w:sz w:val="22"/>
                <w:szCs w:val="22"/>
              </w:rPr>
              <w:t>e się</w:t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 xml:space="preserve"> rozważyć, czy zasadne jest użycie w zdaniu (str. 58) zwrotu </w:t>
            </w:r>
            <w:r w:rsidR="002B3C9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 xml:space="preserve">„od sierpnia 2020 r.” cyt. „Należy zwrócić również uwagę na realizowany od sierpnia 2020 r. proces legislacyjny ustawy o inwestycjach w zakresie przeciwdziałania skutkom suszy, która zakłada szereg zmian </w:t>
            </w:r>
            <w:r w:rsidR="002B3C9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 xml:space="preserve">w dotychczasowych regulacjach z tego zakresu”, co wskazuje </w:t>
            </w:r>
            <w:r w:rsidR="002B3C9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>na przewlekłość procesu leg</w:t>
            </w:r>
            <w:r w:rsidR="004D5872">
              <w:rPr>
                <w:rFonts w:asciiTheme="minorHAnsi" w:hAnsiTheme="minorHAnsi" w:cstheme="minorHAnsi"/>
                <w:sz w:val="22"/>
                <w:szCs w:val="22"/>
              </w:rPr>
              <w:t xml:space="preserve">islacyjnego, biorąc pod uwagę, </w:t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="004D587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 xml:space="preserve"> ww. regulacja stanowi specustawę, która określa tryb i przepisy w zakresie przeciwdziałania skutkom suszy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4234" w:rsidRPr="00A06425" w:rsidTr="009F36F8">
        <w:tc>
          <w:tcPr>
            <w:tcW w:w="562" w:type="dxa"/>
            <w:shd w:val="clear" w:color="auto" w:fill="auto"/>
          </w:tcPr>
          <w:p w:rsidR="00AA4234" w:rsidRDefault="004D5872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AA4234" w:rsidRDefault="00B617AF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A4234" w:rsidRDefault="00BD6C8B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 dotycząca finansowania.</w:t>
            </w:r>
          </w:p>
        </w:tc>
        <w:tc>
          <w:tcPr>
            <w:tcW w:w="6946" w:type="dxa"/>
            <w:shd w:val="clear" w:color="auto" w:fill="auto"/>
          </w:tcPr>
          <w:p w:rsidR="00AA4234" w:rsidRPr="009F36F8" w:rsidRDefault="00B47CA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Ministerstwo Finansów </w:t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 xml:space="preserve">przyjmuje, że finansowanie zadań wynikających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 xml:space="preserve">z projektu, będzie odbywało się w ramach limitów wydatków określonych corocznie dla poszczególnych jednostek zaangażowanych w ten proces,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7CA2">
              <w:rPr>
                <w:rFonts w:asciiTheme="minorHAnsi" w:hAnsiTheme="minorHAnsi" w:cstheme="minorHAnsi"/>
                <w:sz w:val="22"/>
                <w:szCs w:val="22"/>
              </w:rPr>
              <w:t>bez konieczności ich zwiększania.</w:t>
            </w:r>
          </w:p>
        </w:tc>
        <w:tc>
          <w:tcPr>
            <w:tcW w:w="3544" w:type="dxa"/>
            <w:shd w:val="clear" w:color="auto" w:fill="auto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4234" w:rsidRPr="00A06425" w:rsidTr="009F36F8">
        <w:tc>
          <w:tcPr>
            <w:tcW w:w="562" w:type="dxa"/>
            <w:shd w:val="clear" w:color="auto" w:fill="auto"/>
          </w:tcPr>
          <w:p w:rsidR="00AA4234" w:rsidRDefault="004D5872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AA4234" w:rsidRDefault="00B617AF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A4234" w:rsidRDefault="004D5872" w:rsidP="004D58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Cały dokument, m.in. s</w:t>
            </w:r>
            <w:r w:rsidR="005A6349">
              <w:rPr>
                <w:rFonts w:asciiTheme="minorHAnsi" w:hAnsiTheme="minorHAnsi" w:cstheme="minorHAnsi"/>
                <w:sz w:val="22"/>
                <w:szCs w:val="22"/>
              </w:rPr>
              <w:t xml:space="preserve">tr. 41 </w:t>
            </w:r>
          </w:p>
        </w:tc>
        <w:tc>
          <w:tcPr>
            <w:tcW w:w="6946" w:type="dxa"/>
            <w:shd w:val="clear" w:color="auto" w:fill="auto"/>
          </w:tcPr>
          <w:p w:rsidR="00807FA0" w:rsidRDefault="00A17E37" w:rsidP="005A6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  <w:r w:rsidR="00F744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4401" w:rsidRPr="00F74401">
              <w:rPr>
                <w:rFonts w:asciiTheme="minorHAnsi" w:hAnsiTheme="minorHAnsi" w:cstheme="minorHAnsi"/>
                <w:sz w:val="22"/>
                <w:szCs w:val="22"/>
              </w:rPr>
              <w:t xml:space="preserve">zwraca uwagę na posługiwanie się przez autorów w tekście pojęciem „szczeble samorządu terytorialnego” np. na stronie 41. </w:t>
            </w:r>
          </w:p>
          <w:p w:rsidR="00AA4234" w:rsidRPr="009F36F8" w:rsidRDefault="00F74401" w:rsidP="005A6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4401">
              <w:rPr>
                <w:rFonts w:asciiTheme="minorHAnsi" w:hAnsiTheme="minorHAnsi" w:cstheme="minorHAnsi"/>
                <w:sz w:val="22"/>
                <w:szCs w:val="22"/>
              </w:rPr>
              <w:t>Polski samorząd terytorialny nie jest zhierarchizowany tak jak na przykład w Niemczech. Pojęcie „szczeble samorządu” to sformułowanie opisujące poprzedni ustrój (sprzed 32 lat), zakładające podległość np. gmin czy powiatów. W tych fragmentach tekstu należy raczej posługiwać się pojęciem „rodzaje samorządu terytorialnego”.</w:t>
            </w:r>
          </w:p>
        </w:tc>
        <w:tc>
          <w:tcPr>
            <w:tcW w:w="3544" w:type="dxa"/>
            <w:shd w:val="clear" w:color="auto" w:fill="auto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4234" w:rsidRPr="00A06425" w:rsidTr="009F36F8">
        <w:tc>
          <w:tcPr>
            <w:tcW w:w="562" w:type="dxa"/>
            <w:shd w:val="clear" w:color="auto" w:fill="auto"/>
          </w:tcPr>
          <w:p w:rsidR="00AA4234" w:rsidRDefault="004D5872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AA4234" w:rsidRDefault="00B617AF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A4234" w:rsidRDefault="005A6349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120, 141</w:t>
            </w:r>
          </w:p>
        </w:tc>
        <w:tc>
          <w:tcPr>
            <w:tcW w:w="6946" w:type="dxa"/>
            <w:shd w:val="clear" w:color="auto" w:fill="auto"/>
          </w:tcPr>
          <w:p w:rsidR="00AA4234" w:rsidRPr="009F36F8" w:rsidRDefault="007D7940" w:rsidP="005A6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940">
              <w:rPr>
                <w:rFonts w:asciiTheme="minorHAnsi" w:hAnsiTheme="minorHAnsi" w:cstheme="minorHAnsi"/>
                <w:sz w:val="22"/>
                <w:szCs w:val="22"/>
              </w:rPr>
              <w:t xml:space="preserve">W projekcie ogólnie przedstawiono kwestie finansowania polityki. Z uwagi na brak OSR </w:t>
            </w:r>
            <w:r w:rsidR="005A6349">
              <w:rPr>
                <w:rFonts w:asciiTheme="minorHAnsi" w:hAnsiTheme="minorHAnsi" w:cstheme="minorHAnsi"/>
                <w:sz w:val="22"/>
                <w:szCs w:val="22"/>
              </w:rPr>
              <w:t>Ministerstwo Finansów</w:t>
            </w:r>
            <w:r w:rsidRPr="007D7940">
              <w:rPr>
                <w:rFonts w:asciiTheme="minorHAnsi" w:hAnsiTheme="minorHAnsi" w:cstheme="minorHAnsi"/>
                <w:sz w:val="22"/>
                <w:szCs w:val="22"/>
              </w:rPr>
              <w:t xml:space="preserve"> proponuje uzupełnienie o szacunkowe wielkości np. środków z EFS+, o których mowa w części C na stronie 120, które mają być przeznaczone na politykę miejską czy też środków z PO PT przeznaczonych na realizowany projekt, o którym mowa na str. 141.</w:t>
            </w:r>
          </w:p>
        </w:tc>
        <w:tc>
          <w:tcPr>
            <w:tcW w:w="3544" w:type="dxa"/>
            <w:shd w:val="clear" w:color="auto" w:fill="auto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4234" w:rsidRPr="00A06425" w:rsidTr="009F36F8">
        <w:tc>
          <w:tcPr>
            <w:tcW w:w="562" w:type="dxa"/>
            <w:shd w:val="clear" w:color="auto" w:fill="auto"/>
          </w:tcPr>
          <w:p w:rsidR="00AA4234" w:rsidRDefault="004D5872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1134" w:type="dxa"/>
            <w:shd w:val="clear" w:color="auto" w:fill="auto"/>
          </w:tcPr>
          <w:p w:rsidR="00AA4234" w:rsidRDefault="00B617AF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A4234" w:rsidRDefault="001B6D8A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11</w:t>
            </w:r>
          </w:p>
        </w:tc>
        <w:tc>
          <w:tcPr>
            <w:tcW w:w="6946" w:type="dxa"/>
            <w:shd w:val="clear" w:color="auto" w:fill="auto"/>
          </w:tcPr>
          <w:p w:rsidR="00AA4234" w:rsidRPr="009F36F8" w:rsidRDefault="007D7940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940">
              <w:rPr>
                <w:rFonts w:asciiTheme="minorHAnsi" w:hAnsiTheme="minorHAnsi" w:cstheme="minorHAnsi"/>
                <w:sz w:val="22"/>
                <w:szCs w:val="22"/>
              </w:rPr>
              <w:t>W oznaczeniach do rysunku pierwszego wskazano, że miasta na prawach powiatu są oznaczone rombem. Jednakże na mapie oznaczono je trójkątami. W opisie kategorii miast nie ma trójkątnego oznaczenia.</w:t>
            </w:r>
          </w:p>
        </w:tc>
        <w:tc>
          <w:tcPr>
            <w:tcW w:w="3544" w:type="dxa"/>
            <w:shd w:val="clear" w:color="auto" w:fill="auto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67555"/>
    <w:multiLevelType w:val="hybridMultilevel"/>
    <w:tmpl w:val="20D4C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627A0"/>
    <w:rsid w:val="0008402F"/>
    <w:rsid w:val="000B0113"/>
    <w:rsid w:val="000E7716"/>
    <w:rsid w:val="000F4F5A"/>
    <w:rsid w:val="00140BE8"/>
    <w:rsid w:val="001434BE"/>
    <w:rsid w:val="00185027"/>
    <w:rsid w:val="0019648E"/>
    <w:rsid w:val="001A1AFF"/>
    <w:rsid w:val="001A6172"/>
    <w:rsid w:val="001B43AA"/>
    <w:rsid w:val="001B6D8A"/>
    <w:rsid w:val="001B6F62"/>
    <w:rsid w:val="00214FBE"/>
    <w:rsid w:val="002247B1"/>
    <w:rsid w:val="00257EDE"/>
    <w:rsid w:val="002715B2"/>
    <w:rsid w:val="002B3C90"/>
    <w:rsid w:val="003124D1"/>
    <w:rsid w:val="00375ED7"/>
    <w:rsid w:val="003A6C81"/>
    <w:rsid w:val="003B35E1"/>
    <w:rsid w:val="003B4105"/>
    <w:rsid w:val="004230F2"/>
    <w:rsid w:val="00425A3B"/>
    <w:rsid w:val="004352FD"/>
    <w:rsid w:val="00467D64"/>
    <w:rsid w:val="004C26E3"/>
    <w:rsid w:val="004C4575"/>
    <w:rsid w:val="004D086F"/>
    <w:rsid w:val="004D5872"/>
    <w:rsid w:val="00500141"/>
    <w:rsid w:val="005A6349"/>
    <w:rsid w:val="005D2745"/>
    <w:rsid w:val="005E2A04"/>
    <w:rsid w:val="005F6527"/>
    <w:rsid w:val="006320E9"/>
    <w:rsid w:val="00653A67"/>
    <w:rsid w:val="00666246"/>
    <w:rsid w:val="006705EC"/>
    <w:rsid w:val="006B3C28"/>
    <w:rsid w:val="006C6F98"/>
    <w:rsid w:val="006D5655"/>
    <w:rsid w:val="006E16E9"/>
    <w:rsid w:val="00756688"/>
    <w:rsid w:val="00756972"/>
    <w:rsid w:val="00783E4F"/>
    <w:rsid w:val="007914A9"/>
    <w:rsid w:val="007A3233"/>
    <w:rsid w:val="007B29D4"/>
    <w:rsid w:val="007C3EEB"/>
    <w:rsid w:val="007C7A4F"/>
    <w:rsid w:val="007D7940"/>
    <w:rsid w:val="007E266F"/>
    <w:rsid w:val="007E6F35"/>
    <w:rsid w:val="00807385"/>
    <w:rsid w:val="00807FA0"/>
    <w:rsid w:val="00831512"/>
    <w:rsid w:val="008D6C20"/>
    <w:rsid w:val="008F63D4"/>
    <w:rsid w:val="00944932"/>
    <w:rsid w:val="009A03B1"/>
    <w:rsid w:val="009E5FDB"/>
    <w:rsid w:val="009F36F8"/>
    <w:rsid w:val="00A06425"/>
    <w:rsid w:val="00A17E37"/>
    <w:rsid w:val="00A43FDE"/>
    <w:rsid w:val="00A45D9B"/>
    <w:rsid w:val="00A54598"/>
    <w:rsid w:val="00A7029E"/>
    <w:rsid w:val="00A83EB6"/>
    <w:rsid w:val="00AA4234"/>
    <w:rsid w:val="00AC7796"/>
    <w:rsid w:val="00AE7186"/>
    <w:rsid w:val="00B41F02"/>
    <w:rsid w:val="00B47CA2"/>
    <w:rsid w:val="00B617AF"/>
    <w:rsid w:val="00B871B6"/>
    <w:rsid w:val="00BD6C8B"/>
    <w:rsid w:val="00C53B5F"/>
    <w:rsid w:val="00C64B1B"/>
    <w:rsid w:val="00CD5EB0"/>
    <w:rsid w:val="00D00496"/>
    <w:rsid w:val="00D53CE6"/>
    <w:rsid w:val="00DD1D39"/>
    <w:rsid w:val="00E14C33"/>
    <w:rsid w:val="00E16E5E"/>
    <w:rsid w:val="00E740A1"/>
    <w:rsid w:val="00E94A8A"/>
    <w:rsid w:val="00F4578F"/>
    <w:rsid w:val="00F7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2330F-3D10-48F9-9ED1-2A8C2873C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2022-04-22T09:51:00Z</dcterms:created>
  <dcterms:modified xsi:type="dcterms:W3CDTF">2022-04-22T09:51:00Z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